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5C" w:rsidRPr="003C133B" w:rsidRDefault="001B2C5C" w:rsidP="001B2C5C">
      <w:pPr>
        <w:spacing w:line="360" w:lineRule="auto"/>
        <w:jc w:val="center"/>
        <w:rPr>
          <w:rFonts w:cs="Arial"/>
          <w:sz w:val="24"/>
          <w:szCs w:val="24"/>
        </w:rPr>
      </w:pPr>
      <w:r w:rsidRPr="003C133B">
        <w:rPr>
          <w:rFonts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-242570</wp:posOffset>
            </wp:positionV>
            <wp:extent cx="2000250" cy="1000125"/>
            <wp:effectExtent l="0" t="0" r="0" b="9525"/>
            <wp:wrapNone/>
            <wp:docPr id="4" name="Imagem 1" descr="Logo EFSu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EFSul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92" w:rsidRDefault="00827592" w:rsidP="00936A94">
      <w:pPr>
        <w:spacing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827592" w:rsidRPr="00827592" w:rsidRDefault="00827592" w:rsidP="00936A94">
      <w:pPr>
        <w:spacing w:line="360" w:lineRule="auto"/>
        <w:jc w:val="both"/>
        <w:rPr>
          <w:rFonts w:ascii="Calibri" w:eastAsia="Times New Roman" w:hAnsi="Calibri" w:cs="Arial"/>
          <w:b/>
          <w:sz w:val="16"/>
          <w:szCs w:val="24"/>
          <w:lang w:eastAsia="es-AR"/>
        </w:rPr>
      </w:pPr>
    </w:p>
    <w:p w:rsidR="00936A94" w:rsidRPr="00936A94" w:rsidRDefault="000C7D95" w:rsidP="00936A94">
      <w:pPr>
        <w:spacing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XXX</w:t>
      </w:r>
      <w:r w:rsidR="00936A94" w:rsidRPr="00936A94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II REUNIÓN </w:t>
      </w:r>
      <w:r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EXTRAORDINARIA </w:t>
      </w:r>
      <w:r w:rsidR="00936A94" w:rsidRPr="00936A94">
        <w:rPr>
          <w:rFonts w:ascii="Calibri" w:eastAsia="Times New Roman" w:hAnsi="Calibri" w:cs="Arial"/>
          <w:b/>
          <w:sz w:val="24"/>
          <w:szCs w:val="24"/>
          <w:lang w:eastAsia="es-AR"/>
        </w:rPr>
        <w:t>DE LA COMISIÓN MIXTA DE LA ORGANIZACIÓN DE LAS EFS DE LOS PAÍSES DEL MERCOSUR Y ASOCIADOS</w:t>
      </w:r>
      <w:r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</w:p>
    <w:p w:rsidR="00936A94" w:rsidRPr="00936A94" w:rsidRDefault="00936A94" w:rsidP="00936A94">
      <w:pPr>
        <w:spacing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936A94">
        <w:rPr>
          <w:rFonts w:ascii="Calibri" w:eastAsia="Times New Roman" w:hAnsi="Calibri" w:cs="Arial"/>
          <w:b/>
          <w:sz w:val="24"/>
          <w:szCs w:val="24"/>
          <w:lang w:eastAsia="es-AR"/>
        </w:rPr>
        <w:t>ACTA DE ASUNCIÓN, REPÚBLICA DEL PARAGUAY</w:t>
      </w:r>
    </w:p>
    <w:p w:rsidR="00936A94" w:rsidRPr="00936A94" w:rsidRDefault="000C7D95" w:rsidP="00936A94">
      <w:pPr>
        <w:spacing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ABRIL DE 2022</w:t>
      </w:r>
    </w:p>
    <w:p w:rsidR="00936A94" w:rsidRPr="00936A94" w:rsidRDefault="00936A94" w:rsidP="00936A94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En la ciudad Asunción, República del Paraguay, a los </w:t>
      </w:r>
      <w:r w:rsidR="00A402B1">
        <w:rPr>
          <w:rFonts w:ascii="Calibri" w:eastAsia="Times New Roman" w:hAnsi="Calibri" w:cs="Arial"/>
          <w:sz w:val="24"/>
          <w:szCs w:val="24"/>
          <w:lang w:eastAsia="es-AR"/>
        </w:rPr>
        <w:t>0</w:t>
      </w:r>
      <w:r w:rsidR="000C7D95">
        <w:rPr>
          <w:rFonts w:ascii="Calibri" w:eastAsia="Times New Roman" w:hAnsi="Calibri" w:cs="Arial"/>
          <w:sz w:val="24"/>
          <w:szCs w:val="24"/>
          <w:lang w:eastAsia="es-AR"/>
        </w:rPr>
        <w:t>1 días del mes de abril de dos mil veintidós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>, se reunió la Comisión Mixta de Cooperación Técnica, Científica y Cultural de la Organización de las Entidades Fiscalizadoras Superiores de los Países del MERCOSUR y Asociados. La presente reunión de carácter extraordinario se convoca de acuerdo a lo resuelto por la XX</w:t>
      </w:r>
      <w:r w:rsidR="000C7D95">
        <w:rPr>
          <w:rFonts w:ascii="Calibri" w:eastAsia="Times New Roman" w:hAnsi="Calibri" w:cs="Arial"/>
          <w:sz w:val="24"/>
          <w:szCs w:val="24"/>
          <w:lang w:eastAsia="es-AR"/>
        </w:rPr>
        <w:t>X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I Reunión de la Comisión Mixta de Cooperación Técnica, Científica y Cultural de la Organización de las Entidades Fiscalizadoras Superiores de los Países del MERCOSUR y Asociados; </w:t>
      </w:r>
      <w:r w:rsidR="000C7D95">
        <w:rPr>
          <w:rFonts w:ascii="Calibri" w:eastAsia="Times New Roman" w:hAnsi="Calibri" w:cs="Arial"/>
          <w:sz w:val="24"/>
          <w:szCs w:val="24"/>
          <w:lang w:eastAsia="es-AR"/>
        </w:rPr>
        <w:t xml:space="preserve">en el punto VIII de la correspondiente acta 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>y de acuerdo a l</w:t>
      </w:r>
      <w:r w:rsidR="000C7D95">
        <w:rPr>
          <w:rFonts w:ascii="Calibri" w:eastAsia="Times New Roman" w:hAnsi="Calibri" w:cs="Arial"/>
          <w:sz w:val="24"/>
          <w:szCs w:val="24"/>
          <w:lang w:eastAsia="es-AR"/>
        </w:rPr>
        <w:t>o estipulado por el Art. 15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 del Estatuto de la organización.</w:t>
      </w:r>
    </w:p>
    <w:p w:rsidR="006C6A93" w:rsidRDefault="00936A94" w:rsidP="00936A94">
      <w:pPr>
        <w:spacing w:line="360" w:lineRule="auto"/>
        <w:jc w:val="both"/>
        <w:rPr>
          <w:rFonts w:cs="Arial"/>
          <w:sz w:val="24"/>
          <w:szCs w:val="24"/>
        </w:rPr>
      </w:pP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>En la presente reunión se encuentran pre</w:t>
      </w:r>
      <w:r w:rsidR="00826F9C">
        <w:rPr>
          <w:rFonts w:ascii="Calibri" w:eastAsia="Times New Roman" w:hAnsi="Calibri" w:cs="Arial"/>
          <w:sz w:val="24"/>
          <w:szCs w:val="24"/>
          <w:lang w:eastAsia="es-AR"/>
        </w:rPr>
        <w:t xml:space="preserve">sentes los siguientes miembros: 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María Graciela de la Rosa, </w:t>
      </w:r>
      <w:r w:rsidR="008F2AE0">
        <w:rPr>
          <w:rFonts w:ascii="Calibri" w:eastAsia="Times New Roman" w:hAnsi="Calibri" w:cs="Arial"/>
          <w:sz w:val="24"/>
          <w:szCs w:val="24"/>
          <w:lang w:eastAsia="es-AR"/>
        </w:rPr>
        <w:t>Auditor</w:t>
      </w:r>
      <w:r w:rsidR="002444F5">
        <w:rPr>
          <w:rFonts w:ascii="Calibri" w:eastAsia="Times New Roman" w:hAnsi="Calibri" w:cs="Arial"/>
          <w:sz w:val="24"/>
          <w:szCs w:val="24"/>
          <w:lang w:eastAsia="es-AR"/>
        </w:rPr>
        <w:t>a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 General de la Auditoría General de la Nación Argentina</w:t>
      </w:r>
      <w:r w:rsidR="008F2AE0">
        <w:rPr>
          <w:rFonts w:ascii="Calibri" w:eastAsia="Times New Roman" w:hAnsi="Calibri" w:cs="Arial"/>
          <w:sz w:val="24"/>
          <w:szCs w:val="24"/>
          <w:lang w:eastAsia="es-AR"/>
        </w:rPr>
        <w:t xml:space="preserve">, actualmente a cargo de la </w:t>
      </w:r>
      <w:r w:rsidR="008F2AE0" w:rsidRPr="00936A94">
        <w:rPr>
          <w:rFonts w:ascii="Calibri" w:eastAsia="Times New Roman" w:hAnsi="Calibri" w:cs="Arial"/>
          <w:sz w:val="24"/>
          <w:szCs w:val="24"/>
          <w:lang w:eastAsia="es-AR"/>
        </w:rPr>
        <w:t>Secretar</w:t>
      </w:r>
      <w:r w:rsidR="008F2AE0">
        <w:rPr>
          <w:rFonts w:ascii="Calibri" w:eastAsia="Times New Roman" w:hAnsi="Calibri" w:cs="Arial"/>
          <w:sz w:val="24"/>
          <w:szCs w:val="24"/>
          <w:lang w:eastAsia="es-AR"/>
        </w:rPr>
        <w:t>ia Ejecutiva de EFSUR</w:t>
      </w:r>
      <w:r w:rsidR="00826F9C">
        <w:rPr>
          <w:rFonts w:ascii="Calibri" w:eastAsia="Times New Roman" w:hAnsi="Calibri" w:cs="Arial"/>
          <w:sz w:val="24"/>
          <w:szCs w:val="24"/>
          <w:lang w:eastAsia="es-AR"/>
        </w:rPr>
        <w:t xml:space="preserve">; </w:t>
      </w:r>
      <w:r w:rsidR="000C7D95">
        <w:rPr>
          <w:rFonts w:ascii="Calibri" w:eastAsia="Times New Roman" w:hAnsi="Calibri" w:cs="Arial"/>
          <w:sz w:val="24"/>
          <w:szCs w:val="24"/>
          <w:lang w:eastAsia="es-AR"/>
        </w:rPr>
        <w:t>Camilo Benítez Aldana,</w:t>
      </w:r>
      <w:r w:rsidR="000C7D95"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="000C7D95">
        <w:rPr>
          <w:rFonts w:ascii="Calibri" w:eastAsia="Times New Roman" w:hAnsi="Calibri" w:cs="Arial"/>
          <w:sz w:val="24"/>
          <w:szCs w:val="24"/>
          <w:lang w:eastAsia="es-AR"/>
        </w:rPr>
        <w:t>Contralor General de la Contraloría General de la República del Paraguay</w:t>
      </w:r>
      <w:r w:rsidR="000C7D95" w:rsidRPr="009229FE">
        <w:rPr>
          <w:rFonts w:ascii="Calibri" w:eastAsia="Times New Roman" w:hAnsi="Calibri" w:cs="Arial"/>
          <w:sz w:val="24"/>
          <w:szCs w:val="24"/>
          <w:lang w:eastAsia="es-AR"/>
        </w:rPr>
        <w:t xml:space="preserve"> actualmente a cargo de la Presidencia de EFSUR</w:t>
      </w:r>
      <w:r w:rsidR="000C7D95">
        <w:rPr>
          <w:rFonts w:ascii="Calibri" w:eastAsia="Times New Roman" w:hAnsi="Calibri" w:cs="Arial"/>
          <w:sz w:val="24"/>
          <w:szCs w:val="24"/>
          <w:lang w:eastAsia="es-AR"/>
        </w:rPr>
        <w:t>;</w:t>
      </w:r>
      <w:r w:rsidR="00826F9C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Henry Ara </w:t>
      </w:r>
      <w:r w:rsidR="009229FE" w:rsidRPr="00936A94">
        <w:rPr>
          <w:rFonts w:ascii="Calibri" w:eastAsia="Times New Roman" w:hAnsi="Calibri" w:cs="Arial"/>
          <w:sz w:val="24"/>
          <w:szCs w:val="24"/>
          <w:lang w:eastAsia="es-AR"/>
        </w:rPr>
        <w:t>Pérez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, Contralor General del Estado Plurinacional de Bolivia; </w:t>
      </w:r>
      <w:r w:rsidR="006C6A93">
        <w:rPr>
          <w:rFonts w:cs="Arial"/>
          <w:sz w:val="24"/>
          <w:szCs w:val="24"/>
        </w:rPr>
        <w:t xml:space="preserve">Bruno Dantas </w:t>
      </w:r>
      <w:proofErr w:type="spellStart"/>
      <w:r w:rsidR="006C6A93">
        <w:rPr>
          <w:rFonts w:cs="Arial"/>
          <w:sz w:val="24"/>
          <w:szCs w:val="24"/>
        </w:rPr>
        <w:t>Nascimiento</w:t>
      </w:r>
      <w:proofErr w:type="spellEnd"/>
      <w:r w:rsidR="006C6A93">
        <w:rPr>
          <w:rFonts w:cs="Arial"/>
          <w:sz w:val="24"/>
          <w:szCs w:val="24"/>
        </w:rPr>
        <w:t xml:space="preserve">, Ministro del Tribunal de Cuentas de la Unión </w:t>
      </w:r>
      <w:r w:rsidR="006C6A93" w:rsidRPr="00936A94">
        <w:rPr>
          <w:rFonts w:ascii="Calibri" w:eastAsia="Times New Roman" w:hAnsi="Calibri" w:cs="Arial"/>
          <w:sz w:val="24"/>
          <w:szCs w:val="24"/>
          <w:lang w:eastAsia="es-AR"/>
        </w:rPr>
        <w:t>de la República Federativa del Brasil</w:t>
      </w:r>
      <w:r w:rsidR="006C6A93">
        <w:rPr>
          <w:rFonts w:cs="Arial"/>
          <w:sz w:val="24"/>
          <w:szCs w:val="24"/>
        </w:rPr>
        <w:t>; Nelly Salvo, Secretaria General de la Contraloría General de la República de Chile en representación del Contralor Gene</w:t>
      </w:r>
      <w:r w:rsidR="00826F9C">
        <w:rPr>
          <w:rFonts w:cs="Arial"/>
          <w:sz w:val="24"/>
          <w:szCs w:val="24"/>
        </w:rPr>
        <w:t>ral Jorge Bermúdez Soto;</w:t>
      </w:r>
      <w:r w:rsidR="006C6A93">
        <w:rPr>
          <w:rFonts w:cs="Arial"/>
          <w:sz w:val="24"/>
          <w:szCs w:val="24"/>
        </w:rPr>
        <w:t xml:space="preserve"> Carlos Felipe Córdoba </w:t>
      </w:r>
      <w:proofErr w:type="spellStart"/>
      <w:r w:rsidR="006C6A93">
        <w:rPr>
          <w:rFonts w:cs="Arial"/>
          <w:sz w:val="24"/>
          <w:szCs w:val="24"/>
        </w:rPr>
        <w:t>Larrarte</w:t>
      </w:r>
      <w:proofErr w:type="spellEnd"/>
      <w:r w:rsidR="006C6A93">
        <w:rPr>
          <w:rFonts w:cs="Arial"/>
          <w:sz w:val="24"/>
          <w:szCs w:val="24"/>
        </w:rPr>
        <w:t>, Contralor General de la Contraloría General de la República de Colombi</w:t>
      </w:r>
      <w:r w:rsidR="00826F9C">
        <w:rPr>
          <w:rFonts w:cs="Arial"/>
          <w:sz w:val="24"/>
          <w:szCs w:val="24"/>
        </w:rPr>
        <w:t>a;</w:t>
      </w:r>
      <w:r w:rsidR="006C6A93">
        <w:rPr>
          <w:rFonts w:cs="Arial"/>
          <w:sz w:val="24"/>
          <w:szCs w:val="24"/>
        </w:rPr>
        <w:t xml:space="preserve"> Silvia Viviana Meza Cruz en representación de</w:t>
      </w:r>
      <w:r w:rsidR="00826F9C">
        <w:rPr>
          <w:rFonts w:cs="Arial"/>
          <w:sz w:val="24"/>
          <w:szCs w:val="24"/>
        </w:rPr>
        <w:t xml:space="preserve">l Contralor General Carlos </w:t>
      </w:r>
      <w:proofErr w:type="spellStart"/>
      <w:r w:rsidR="00826F9C">
        <w:rPr>
          <w:rFonts w:cs="Arial"/>
          <w:sz w:val="24"/>
          <w:szCs w:val="24"/>
        </w:rPr>
        <w:t>Riofrío</w:t>
      </w:r>
      <w:proofErr w:type="spellEnd"/>
      <w:r w:rsidR="00826F9C">
        <w:rPr>
          <w:rFonts w:cs="Arial"/>
          <w:sz w:val="24"/>
          <w:szCs w:val="24"/>
        </w:rPr>
        <w:t xml:space="preserve"> González</w:t>
      </w:r>
      <w:r w:rsidR="006C6A93">
        <w:rPr>
          <w:rFonts w:cs="Arial"/>
          <w:sz w:val="24"/>
          <w:szCs w:val="24"/>
        </w:rPr>
        <w:t xml:space="preserve"> la </w:t>
      </w:r>
      <w:r w:rsidR="00826F9C">
        <w:rPr>
          <w:rFonts w:cs="Arial"/>
          <w:sz w:val="24"/>
          <w:szCs w:val="24"/>
        </w:rPr>
        <w:t>C</w:t>
      </w:r>
      <w:r w:rsidR="006C6A93">
        <w:rPr>
          <w:rFonts w:cs="Arial"/>
          <w:sz w:val="24"/>
          <w:szCs w:val="24"/>
        </w:rPr>
        <w:t xml:space="preserve">ontraloría General del Estado de </w:t>
      </w:r>
      <w:r w:rsidR="006C6A93">
        <w:rPr>
          <w:rFonts w:ascii="Calibri" w:eastAsia="Times New Roman" w:hAnsi="Calibri" w:cs="Arial"/>
          <w:sz w:val="24"/>
          <w:szCs w:val="24"/>
          <w:lang w:eastAsia="es-AR"/>
        </w:rPr>
        <w:t xml:space="preserve">la República del </w:t>
      </w:r>
      <w:r w:rsidR="00826F9C">
        <w:rPr>
          <w:rFonts w:cs="Arial"/>
          <w:sz w:val="24"/>
          <w:szCs w:val="24"/>
        </w:rPr>
        <w:t>Ecuador;</w:t>
      </w:r>
      <w:r w:rsidR="00D1705B">
        <w:rPr>
          <w:rFonts w:cs="Arial"/>
          <w:sz w:val="24"/>
          <w:szCs w:val="24"/>
        </w:rPr>
        <w:t xml:space="preserve"> </w:t>
      </w:r>
      <w:proofErr w:type="spellStart"/>
      <w:r w:rsidR="00D1705B">
        <w:rPr>
          <w:rFonts w:cs="Arial"/>
          <w:sz w:val="24"/>
          <w:szCs w:val="24"/>
        </w:rPr>
        <w:t>Jhosnel</w:t>
      </w:r>
      <w:proofErr w:type="spellEnd"/>
      <w:r w:rsidR="00D1705B">
        <w:rPr>
          <w:rFonts w:cs="Arial"/>
          <w:sz w:val="24"/>
          <w:szCs w:val="24"/>
        </w:rPr>
        <w:t xml:space="preserve"> Peraza Machado </w:t>
      </w:r>
      <w:proofErr w:type="spellStart"/>
      <w:r w:rsidR="00826F9C">
        <w:rPr>
          <w:rFonts w:cs="Arial"/>
          <w:sz w:val="24"/>
          <w:szCs w:val="24"/>
        </w:rPr>
        <w:t>Subcontralor</w:t>
      </w:r>
      <w:proofErr w:type="spellEnd"/>
      <w:r w:rsidR="00D1705B">
        <w:rPr>
          <w:rFonts w:cs="Arial"/>
          <w:sz w:val="24"/>
          <w:szCs w:val="24"/>
        </w:rPr>
        <w:t xml:space="preserve"> de la Contraloría General de la República Bolivariana de Venezuela y estarán presente bajo modalidad virtual </w:t>
      </w:r>
      <w:proofErr w:type="spellStart"/>
      <w:r w:rsidR="00826F9C">
        <w:rPr>
          <w:rFonts w:cs="Arial"/>
          <w:sz w:val="24"/>
          <w:szCs w:val="24"/>
        </w:rPr>
        <w:t>Alvaro</w:t>
      </w:r>
      <w:proofErr w:type="spellEnd"/>
      <w:r w:rsidR="00826F9C">
        <w:rPr>
          <w:rFonts w:cs="Arial"/>
          <w:sz w:val="24"/>
          <w:szCs w:val="24"/>
        </w:rPr>
        <w:t xml:space="preserve"> Ezcurra, Darwin Machado y Diana Marcos, Ministros</w:t>
      </w:r>
      <w:r w:rsidR="006C6A93">
        <w:rPr>
          <w:rFonts w:cs="Arial"/>
          <w:sz w:val="24"/>
          <w:szCs w:val="24"/>
        </w:rPr>
        <w:t xml:space="preserve"> del Tribunal de Cuentas de la República Oriental del Uruguay.</w:t>
      </w:r>
    </w:p>
    <w:p w:rsidR="00936A94" w:rsidRPr="00936A94" w:rsidRDefault="00936A94" w:rsidP="00936A94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936A94">
        <w:rPr>
          <w:rFonts w:ascii="Calibri" w:eastAsia="Times New Roman" w:hAnsi="Calibri" w:cs="Arial"/>
          <w:sz w:val="24"/>
          <w:szCs w:val="24"/>
          <w:lang w:eastAsia="es-AR"/>
        </w:rPr>
        <w:lastRenderedPageBreak/>
        <w:t>La Comisión inicia las deliberaciones consider</w:t>
      </w:r>
      <w:r w:rsidR="000C7D95">
        <w:rPr>
          <w:rFonts w:ascii="Calibri" w:eastAsia="Times New Roman" w:hAnsi="Calibri" w:cs="Arial"/>
          <w:sz w:val="24"/>
          <w:szCs w:val="24"/>
          <w:lang w:eastAsia="es-AR"/>
        </w:rPr>
        <w:t>ando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 el siguiente temario:</w:t>
      </w:r>
    </w:p>
    <w:p w:rsidR="00936A94" w:rsidRPr="000C7D95" w:rsidRDefault="000C7D95" w:rsidP="000C7D95">
      <w:pPr>
        <w:pStyle w:val="Prrafodelista"/>
        <w:numPr>
          <w:ilvl w:val="0"/>
          <w:numId w:val="7"/>
        </w:numPr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>ACTA XXXI REUNIÓN DE LA COMISIÓN MIXTA</w:t>
      </w:r>
    </w:p>
    <w:p w:rsidR="00936A94" w:rsidRPr="000C7D95" w:rsidRDefault="000C7D95" w:rsidP="000C7D9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>ACTA XXIX REUNIÓN DEL GRUPO DE COORDINACIÓN Y SUS RECOMENDACIONES</w:t>
      </w:r>
      <w:r w:rsidR="00936A94"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</w:p>
    <w:p w:rsidR="00D36B2A" w:rsidRPr="000C7D95" w:rsidRDefault="000C7D95" w:rsidP="000C7D9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>TALLER DE PLANIFICACIÓN ODS 6</w:t>
      </w:r>
    </w:p>
    <w:p w:rsidR="00936A94" w:rsidRPr="000C7D95" w:rsidRDefault="000C7D95" w:rsidP="000C7D9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TALLER DE MODERNIZACIÓN </w:t>
      </w:r>
    </w:p>
    <w:p w:rsidR="000C7D95" w:rsidRPr="000C7D95" w:rsidRDefault="000C7D95" w:rsidP="000C7D9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>INFORME EFS BRASIL: INCOSAI 2022 Y PLANES PARA LA PRESIDENCIA DE LA INTOSAI</w:t>
      </w:r>
    </w:p>
    <w:p w:rsidR="000C7D95" w:rsidRDefault="000C7D95" w:rsidP="000C7D9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SEDE PARA LA PRÓXIMA REUNIÓN ORDINARIA </w:t>
      </w:r>
    </w:p>
    <w:p w:rsidR="000C7D95" w:rsidRPr="000C7D95" w:rsidRDefault="000C7D95" w:rsidP="000C7D9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INFORME SOBRE POSTULACIONES PARA SECRETARIA EJECUTIVA Y PRESIDENCIA.</w:t>
      </w:r>
    </w:p>
    <w:p w:rsidR="000C7D95" w:rsidRPr="00936A94" w:rsidRDefault="000C7D95" w:rsidP="00936A94">
      <w:pPr>
        <w:spacing w:line="360" w:lineRule="auto"/>
        <w:ind w:left="780" w:hanging="360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936A94" w:rsidRDefault="00936A94" w:rsidP="00936A94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>Se adoptaron las siguientes decisiones:</w:t>
      </w:r>
    </w:p>
    <w:p w:rsidR="000C7D95" w:rsidRPr="00936A94" w:rsidRDefault="000C7D95" w:rsidP="00936A94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0C7D95" w:rsidRPr="000C7D95" w:rsidRDefault="000C7D95" w:rsidP="000C7D95">
      <w:pPr>
        <w:pStyle w:val="Prrafodelista"/>
        <w:numPr>
          <w:ilvl w:val="0"/>
          <w:numId w:val="9"/>
        </w:numPr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>ACTA XXXI REUNIÓN DE LA COMISIÓN MIXTA</w:t>
      </w:r>
    </w:p>
    <w:p w:rsidR="00936A94" w:rsidRPr="00936A94" w:rsidRDefault="00936A94" w:rsidP="00936A94">
      <w:pPr>
        <w:spacing w:line="360" w:lineRule="auto"/>
        <w:ind w:left="780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0C7D95" w:rsidRDefault="000C7D95" w:rsidP="000C7D95">
      <w:pPr>
        <w:spacing w:line="360" w:lineRule="auto"/>
        <w:jc w:val="both"/>
        <w:rPr>
          <w:rFonts w:ascii="Calibri" w:eastAsia="Calibri" w:hAnsi="Calibri" w:cs="Arial"/>
          <w:bCs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>Se acordó la</w:t>
      </w:r>
      <w:r>
        <w:rPr>
          <w:rFonts w:ascii="Calibri" w:eastAsia="Calibri" w:hAnsi="Calibri" w:cs="Arial"/>
          <w:bCs/>
        </w:rPr>
        <w:t xml:space="preserve"> aprobación del acta de la XXXI Reunión de la Comisión Mixta, celebrada de manera virtual el 18 de noviembre de 2021.</w:t>
      </w:r>
    </w:p>
    <w:p w:rsidR="008034D2" w:rsidRDefault="008034D2" w:rsidP="008034D2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8034D2" w:rsidRPr="00827592" w:rsidRDefault="008034D2" w:rsidP="00936A94">
      <w:pPr>
        <w:spacing w:after="0" w:line="360" w:lineRule="auto"/>
        <w:contextualSpacing/>
        <w:jc w:val="both"/>
        <w:rPr>
          <w:rFonts w:ascii="Segoe UI" w:eastAsia="Times New Roman" w:hAnsi="Segoe UI" w:cs="Arial"/>
          <w:b/>
          <w:sz w:val="18"/>
          <w:szCs w:val="24"/>
          <w:lang w:eastAsia="es-AR"/>
        </w:rPr>
      </w:pPr>
    </w:p>
    <w:p w:rsidR="000C7D95" w:rsidRPr="000C7D95" w:rsidRDefault="000C7D95" w:rsidP="000C7D9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ACTA XXIX REUNIÓN DEL GRUPO DE COORDINACIÓN Y SUS RECOMENDACIONES </w:t>
      </w:r>
    </w:p>
    <w:p w:rsidR="00936A94" w:rsidRPr="00936A94" w:rsidRDefault="00936A94" w:rsidP="00936A94">
      <w:pPr>
        <w:spacing w:line="360" w:lineRule="auto"/>
        <w:ind w:left="780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0C7D95" w:rsidRDefault="000C7D95" w:rsidP="000C7D95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sz w:val="24"/>
          <w:szCs w:val="24"/>
          <w:lang w:eastAsia="es-AR"/>
        </w:rPr>
        <w:t xml:space="preserve">Se acordó la </w:t>
      </w:r>
      <w:r>
        <w:rPr>
          <w:rFonts w:ascii="Calibri" w:eastAsia="Times New Roman" w:hAnsi="Calibri" w:cs="Arial"/>
          <w:sz w:val="24"/>
          <w:szCs w:val="24"/>
          <w:lang w:eastAsia="es-AR"/>
        </w:rPr>
        <w:t>aprobación del acta de la XXIX</w:t>
      </w:r>
      <w:r w:rsidRPr="000C7D95">
        <w:rPr>
          <w:rFonts w:ascii="Calibri" w:eastAsia="Times New Roman" w:hAnsi="Calibri" w:cs="Arial"/>
          <w:sz w:val="24"/>
          <w:szCs w:val="24"/>
          <w:lang w:eastAsia="es-AR"/>
        </w:rPr>
        <w:t xml:space="preserve"> Reunión del Grupo de Coordinación c</w:t>
      </w:r>
      <w:r>
        <w:rPr>
          <w:rFonts w:ascii="Calibri" w:eastAsia="Times New Roman" w:hAnsi="Calibri" w:cs="Arial"/>
          <w:sz w:val="24"/>
          <w:szCs w:val="24"/>
          <w:lang w:eastAsia="es-AR"/>
        </w:rPr>
        <w:t>elebrada de manera virtual el 10 de febrero de 2022</w:t>
      </w:r>
      <w:r w:rsidRPr="000C7D95">
        <w:rPr>
          <w:rFonts w:ascii="Calibri" w:eastAsia="Times New Roman" w:hAnsi="Calibri" w:cs="Arial"/>
          <w:sz w:val="24"/>
          <w:szCs w:val="24"/>
          <w:lang w:eastAsia="es-AR"/>
        </w:rPr>
        <w:t xml:space="preserve"> y aprobar las propuestas elaboradas por dicho Grupo, a saber</w:t>
      </w: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; </w:t>
      </w:r>
      <w:r w:rsidRPr="000C7D95">
        <w:rPr>
          <w:rFonts w:ascii="Calibri" w:eastAsia="Times New Roman" w:hAnsi="Calibri" w:cs="Arial"/>
          <w:sz w:val="24"/>
          <w:szCs w:val="24"/>
          <w:lang w:eastAsia="es-AR"/>
        </w:rPr>
        <w:t>“Informe de Relevamiento de Aportes, Distribución y Proyectos de Seguimiento del FOCEM” para el período 2019-2020</w:t>
      </w: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, </w:t>
      </w:r>
      <w:r w:rsidRPr="000C7D95">
        <w:rPr>
          <w:rFonts w:ascii="Calibri" w:eastAsia="Times New Roman" w:hAnsi="Calibri" w:cs="Arial"/>
          <w:sz w:val="24"/>
          <w:szCs w:val="24"/>
          <w:lang w:eastAsia="es-AR"/>
        </w:rPr>
        <w:t>“Informe de Seguimiento de los recursos aportados para el mantenimiento de la Estructura del MERCOSUR” para el período 2019-2020</w:t>
      </w: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, </w:t>
      </w:r>
      <w:r w:rsidRPr="000C7D95">
        <w:rPr>
          <w:rFonts w:ascii="Calibri" w:eastAsia="Times New Roman" w:hAnsi="Calibri" w:cs="Arial"/>
          <w:sz w:val="24"/>
          <w:szCs w:val="24"/>
          <w:lang w:eastAsia="es-AR"/>
        </w:rPr>
        <w:t>Plan de Acción 2022</w:t>
      </w: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 e </w:t>
      </w:r>
      <w:r w:rsidRPr="000C7D95">
        <w:rPr>
          <w:rFonts w:ascii="Calibri" w:eastAsia="Times New Roman" w:hAnsi="Calibri" w:cs="Arial"/>
          <w:sz w:val="24"/>
          <w:szCs w:val="24"/>
          <w:lang w:eastAsia="es-AR"/>
        </w:rPr>
        <w:t>Informe Consolidado “Relevamiento y evaluación de las Políticas Implementadas con la finalidad de dar cumplimiento al ODS 1 desde l</w:t>
      </w:r>
      <w:r>
        <w:rPr>
          <w:rFonts w:ascii="Calibri" w:eastAsia="Times New Roman" w:hAnsi="Calibri" w:cs="Arial"/>
          <w:sz w:val="24"/>
          <w:szCs w:val="24"/>
          <w:lang w:eastAsia="es-AR"/>
        </w:rPr>
        <w:t>a Perspectiva de Género”.</w:t>
      </w:r>
    </w:p>
    <w:p w:rsidR="00F566BA" w:rsidRDefault="00826F9C" w:rsidP="000C7D95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lastRenderedPageBreak/>
        <w:t xml:space="preserve">Respecto a este último punto, la Secretaría Ejecutiva presentó un video que da cuenta del trabajo realizado y expone los principales hallazgos. Este material de difusión </w:t>
      </w:r>
      <w:r w:rsidR="001B4297">
        <w:rPr>
          <w:rFonts w:ascii="Calibri" w:eastAsia="Times New Roman" w:hAnsi="Calibri" w:cs="Arial"/>
          <w:sz w:val="24"/>
          <w:szCs w:val="24"/>
          <w:lang w:eastAsia="es-AR"/>
        </w:rPr>
        <w:t>estará disponible en el postal web de la organización.</w:t>
      </w:r>
    </w:p>
    <w:p w:rsidR="000C7D95" w:rsidRPr="00827592" w:rsidRDefault="000C7D95" w:rsidP="000C7D95">
      <w:pPr>
        <w:spacing w:line="360" w:lineRule="auto"/>
        <w:jc w:val="both"/>
        <w:rPr>
          <w:rFonts w:ascii="Calibri" w:eastAsia="Times New Roman" w:hAnsi="Calibri" w:cs="Arial"/>
          <w:b/>
          <w:sz w:val="14"/>
          <w:szCs w:val="24"/>
          <w:lang w:eastAsia="es-AR"/>
        </w:rPr>
      </w:pPr>
    </w:p>
    <w:p w:rsidR="000C7D95" w:rsidRDefault="000C7D95" w:rsidP="000C7D9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>TALLER DE PLANIFICACIÓN ODS 6</w:t>
      </w:r>
    </w:p>
    <w:p w:rsidR="001B4297" w:rsidRDefault="001B4297" w:rsidP="001B4297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1B4297" w:rsidRDefault="001B4297" w:rsidP="001B4297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>La Presidencia informó brevemente acerca de lo trabajado durante el taller de planificación del Proyecto de Auditoría referente al ODS 6 “Agua y Saneamiento” realizado los días 29, 30 y 31 de marzo. Se destacó la amplia participación y la productividad del trabajo realizado. Se contó con la presencia de los equipos de las EFS de Argentina, Bolivia, Chile, Ecuador y Paraguay, como así también la participación virtual de las EFS de Perú y Venezuela.</w:t>
      </w:r>
    </w:p>
    <w:p w:rsidR="003168D2" w:rsidRDefault="003168D2" w:rsidP="001B4297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3168D2" w:rsidRDefault="003168D2" w:rsidP="001B4297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Como resultado de las jornadas de trabajo se lograron los siguientes productos: </w:t>
      </w:r>
    </w:p>
    <w:p w:rsidR="003168D2" w:rsidRDefault="003168D2" w:rsidP="003168D2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>Cronograma de la Auditoría Coordinada ODS 6 Agua y Saneamiento.</w:t>
      </w:r>
    </w:p>
    <w:p w:rsidR="003168D2" w:rsidRPr="003168D2" w:rsidRDefault="003168D2" w:rsidP="003168D2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>Matriz de planificación de la Auditoría Coordinada.</w:t>
      </w:r>
    </w:p>
    <w:p w:rsidR="001B4297" w:rsidRDefault="001B4297" w:rsidP="001B4297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1B4297" w:rsidRDefault="001B4297" w:rsidP="001B4297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 Al respecto la Presidencia se comprometió a brindar un informe más detallado de lo actuado a la brevedad, con el fin que la Comisión</w:t>
      </w:r>
      <w:r w:rsidR="003168D2">
        <w:rPr>
          <w:rFonts w:ascii="Calibri" w:eastAsia="Times New Roman" w:hAnsi="Calibri" w:cs="Arial"/>
          <w:sz w:val="24"/>
          <w:szCs w:val="24"/>
          <w:lang w:eastAsia="es-AR"/>
        </w:rPr>
        <w:t xml:space="preserve"> Mixta tome conocimiento de lo actuado.</w:t>
      </w:r>
    </w:p>
    <w:p w:rsidR="003168D2" w:rsidRDefault="003168D2" w:rsidP="001B4297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0C7D95" w:rsidRDefault="000C7D95" w:rsidP="000C7D9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TALLER DE MODERNIZACIÓN </w:t>
      </w:r>
    </w:p>
    <w:p w:rsidR="003168D2" w:rsidRDefault="003168D2" w:rsidP="003168D2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FF56F9" w:rsidRP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La EFS de Chile, en su rol de facilitadora del taller expuso acerca de los principales resultados y acuerdos derivados de lo trabajado. </w:t>
      </w:r>
    </w:p>
    <w:p w:rsid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FF56F9" w:rsidRP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>El principal</w:t>
      </w: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 xml:space="preserve"> objetivo </w:t>
      </w: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consistió en </w:t>
      </w: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>efectuar una revisión del proyecto de Estatutos presentado por la Secretaría Ejecutiva y la Presidencia para actualizar las normativas legales que rigen a la Organización</w:t>
      </w: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 dando como resultado un</w:t>
      </w: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 xml:space="preserve"> texto en condiciones de ser aprobado</w:t>
      </w:r>
      <w:r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FF56F9" w:rsidRP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>Las principales propuestas consisten en:</w:t>
      </w:r>
    </w:p>
    <w:p w:rsidR="00FF56F9" w:rsidRP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>1.</w:t>
      </w: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ab/>
        <w:t>Cambio de la denominación de la Organización para darle una identidad regional</w:t>
      </w:r>
    </w:p>
    <w:p w:rsidR="00FF56F9" w:rsidRP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FF56F9">
        <w:rPr>
          <w:rFonts w:ascii="Calibri" w:eastAsia="Times New Roman" w:hAnsi="Calibri" w:cs="Arial"/>
          <w:sz w:val="24"/>
          <w:szCs w:val="24"/>
          <w:lang w:eastAsia="es-AR"/>
        </w:rPr>
        <w:lastRenderedPageBreak/>
        <w:t>2.</w:t>
      </w: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ab/>
        <w:t>La denominación de los miembros y la posibilidad de integrar observadores, en especial aquellas agencias que puedan colaborar técnica o financieramente con la Entidad</w:t>
      </w:r>
    </w:p>
    <w:p w:rsidR="00FF56F9" w:rsidRP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>3.</w:t>
      </w: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ab/>
        <w:t>Se modifican los órganos que rigen la Organización, siendo las nuevas denominaciones: Asamblea, Presidencia, Secretaría Ejecutiva y Grupo Técnico de Cooperación</w:t>
      </w:r>
    </w:p>
    <w:p w:rsidR="00FF56F9" w:rsidRP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>4.</w:t>
      </w: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ab/>
        <w:t>Se establece la posibilidad de la crear Fuerzas de Tarea para cumplir con objetivos específicos en plazos acotados, dando agilidad y flexibilidad a la Organización</w:t>
      </w:r>
    </w:p>
    <w:p w:rsidR="00FF56F9" w:rsidRP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>5.</w:t>
      </w: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ab/>
        <w:t>Se consolidan en el documento diferentes formas de financiamiento y la posibilidad de buscar aportes con instancias internacionales</w:t>
      </w:r>
    </w:p>
    <w:p w:rsid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>Este Estatuto permanece fiel a la visión de la EFSUR en cuanto es flexible, apolítico y de carácter regional; destinado a desarrollar las competencias y capacidades de sus miembros y fomentar el desarrollo y perfeccionamiento, promoviendo el consenso para lograr acuerdos</w:t>
      </w:r>
      <w:r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FF56F9" w:rsidRPr="00FF56F9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>Dado el amplio consenso acerca de la necesidad y pertinencia de realizar dichas modificaciones se decidió aprobar las mismas por unanimidad. Se adjunta a la presente el documento pertinente.</w:t>
      </w:r>
    </w:p>
    <w:p w:rsidR="003168D2" w:rsidRPr="003168D2" w:rsidRDefault="003168D2" w:rsidP="003168D2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0C7D95" w:rsidRDefault="000C7D95" w:rsidP="000C7D9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0C7D95">
        <w:rPr>
          <w:rFonts w:ascii="Calibri" w:eastAsia="Times New Roman" w:hAnsi="Calibri" w:cs="Arial"/>
          <w:b/>
          <w:sz w:val="24"/>
          <w:szCs w:val="24"/>
          <w:lang w:eastAsia="es-AR"/>
        </w:rPr>
        <w:t>INFORME EFS BRASIL: INCOSAI 2022 Y PLANES PARA LA PRESIDENCIA DE LA INTOSAI</w:t>
      </w:r>
    </w:p>
    <w:p w:rsidR="00FF56F9" w:rsidRDefault="00FF56F9" w:rsidP="00FF56F9">
      <w:pPr>
        <w:pStyle w:val="Prrafodelista"/>
        <w:spacing w:after="0" w:line="360" w:lineRule="auto"/>
        <w:ind w:left="1140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4C30FF" w:rsidRDefault="00FF56F9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FF56F9">
        <w:rPr>
          <w:rFonts w:ascii="Calibri" w:eastAsia="Times New Roman" w:hAnsi="Calibri" w:cs="Arial"/>
          <w:sz w:val="24"/>
          <w:szCs w:val="24"/>
          <w:lang w:eastAsia="es-AR"/>
        </w:rPr>
        <w:t xml:space="preserve">La EFS </w:t>
      </w: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de Brasil expuso </w:t>
      </w:r>
      <w:r w:rsidR="004C30FF">
        <w:rPr>
          <w:rFonts w:ascii="Calibri" w:eastAsia="Times New Roman" w:hAnsi="Calibri" w:cs="Arial"/>
          <w:sz w:val="24"/>
          <w:szCs w:val="24"/>
          <w:lang w:eastAsia="es-AR"/>
        </w:rPr>
        <w:t>sobre la planificación para la realización de la INCOSAI en Río de Janeiro d</w:t>
      </w:r>
      <w:r w:rsidR="0063650C">
        <w:rPr>
          <w:rFonts w:ascii="Calibri" w:eastAsia="Times New Roman" w:hAnsi="Calibri" w:cs="Arial"/>
          <w:sz w:val="24"/>
          <w:szCs w:val="24"/>
          <w:lang w:eastAsia="es-AR"/>
        </w:rPr>
        <w:t>el 7 al 11 de noviembre del 2022</w:t>
      </w:r>
      <w:r w:rsidR="004C30FF">
        <w:rPr>
          <w:rFonts w:ascii="Calibri" w:eastAsia="Times New Roman" w:hAnsi="Calibri" w:cs="Arial"/>
          <w:sz w:val="24"/>
          <w:szCs w:val="24"/>
          <w:lang w:eastAsia="es-AR"/>
        </w:rPr>
        <w:t>, como así también respecto sus planes para la Presidencia de la INTOSAI, donde se destacó la inten</w:t>
      </w:r>
      <w:r w:rsidR="0063650C">
        <w:rPr>
          <w:rFonts w:ascii="Calibri" w:eastAsia="Times New Roman" w:hAnsi="Calibri" w:cs="Arial"/>
          <w:sz w:val="24"/>
          <w:szCs w:val="24"/>
          <w:lang w:eastAsia="es-AR"/>
        </w:rPr>
        <w:t>c</w:t>
      </w:r>
      <w:r w:rsidR="004C30FF">
        <w:rPr>
          <w:rFonts w:ascii="Calibri" w:eastAsia="Times New Roman" w:hAnsi="Calibri" w:cs="Arial"/>
          <w:sz w:val="24"/>
          <w:szCs w:val="24"/>
          <w:lang w:eastAsia="es-AR"/>
        </w:rPr>
        <w:t xml:space="preserve">ión de reforzar la imagen de la institución logrando mayor difusión fuera del ámbito de la Fiscalización Superior dado el potencial y la utilidad </w:t>
      </w:r>
      <w:r w:rsidR="00960E43">
        <w:rPr>
          <w:rFonts w:ascii="Calibri" w:eastAsia="Times New Roman" w:hAnsi="Calibri" w:cs="Arial"/>
          <w:sz w:val="24"/>
          <w:szCs w:val="24"/>
          <w:lang w:eastAsia="es-AR"/>
        </w:rPr>
        <w:t>de la labor realizada, defendiendo la autonomía de las EFS.</w:t>
      </w:r>
      <w:bookmarkStart w:id="0" w:name="_GoBack"/>
      <w:bookmarkEnd w:id="0"/>
    </w:p>
    <w:p w:rsidR="00960E43" w:rsidRDefault="00960E43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FF56F9" w:rsidRDefault="004C30FF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Se remarcó asimismo la pretensión de </w:t>
      </w:r>
      <w:r w:rsidR="00960E43">
        <w:rPr>
          <w:rFonts w:ascii="Calibri" w:eastAsia="Times New Roman" w:hAnsi="Calibri" w:cs="Arial"/>
          <w:sz w:val="24"/>
          <w:szCs w:val="24"/>
          <w:lang w:eastAsia="es-AR"/>
        </w:rPr>
        <w:t xml:space="preserve">construir una Presidencia con participación y retroalimentación continua con las EFS de la región. </w:t>
      </w:r>
    </w:p>
    <w:p w:rsidR="004C30FF" w:rsidRPr="00FF56F9" w:rsidRDefault="004C30FF" w:rsidP="00FF56F9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0C7D95" w:rsidRDefault="000C7D95" w:rsidP="000C7D9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SEDE PARA LA PRÓXIMA REUNIÓN ORDINARIA </w:t>
      </w:r>
    </w:p>
    <w:p w:rsidR="00960E43" w:rsidRDefault="00960E43" w:rsidP="00960E43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960E43" w:rsidRPr="00960E43" w:rsidRDefault="00960E43" w:rsidP="00960E4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960E43">
        <w:rPr>
          <w:rFonts w:ascii="Calibri" w:eastAsia="Times New Roman" w:hAnsi="Calibri" w:cs="Arial"/>
          <w:sz w:val="24"/>
          <w:szCs w:val="24"/>
          <w:lang w:eastAsia="es-AR"/>
        </w:rPr>
        <w:t>La Secretaría Ejecutiva informó que no existen propuestas de sede para la realización de la próxima Reunión Ordinaria por lo que queda vigente la convocatoria.</w:t>
      </w:r>
    </w:p>
    <w:p w:rsidR="00960E43" w:rsidRPr="00960E43" w:rsidRDefault="00960E43" w:rsidP="00960E43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0C7D95" w:rsidRDefault="000C7D95" w:rsidP="000C7D9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INFORME SOBRE POSTULACIONES PARA SECRETARIA EJECUTIVA Y PRESIDENCIA</w:t>
      </w:r>
    </w:p>
    <w:p w:rsidR="00960E43" w:rsidRDefault="00960E43" w:rsidP="00960E43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B635D9" w:rsidRDefault="00960E43" w:rsidP="00960E4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960E43">
        <w:rPr>
          <w:rFonts w:ascii="Calibri" w:eastAsia="Times New Roman" w:hAnsi="Calibri" w:cs="Arial"/>
          <w:sz w:val="24"/>
          <w:szCs w:val="24"/>
          <w:lang w:eastAsia="es-AR"/>
        </w:rPr>
        <w:t>La Secretaría Ejecutiva informó sobre las postulacio</w:t>
      </w:r>
      <w:r>
        <w:rPr>
          <w:rFonts w:ascii="Calibri" w:eastAsia="Times New Roman" w:hAnsi="Calibri" w:cs="Arial"/>
          <w:sz w:val="24"/>
          <w:szCs w:val="24"/>
          <w:lang w:eastAsia="es-AR"/>
        </w:rPr>
        <w:t>nes recibidas.</w:t>
      </w:r>
      <w:r w:rsidR="00B635D9">
        <w:rPr>
          <w:rFonts w:ascii="Calibri" w:eastAsia="Times New Roman" w:hAnsi="Calibri" w:cs="Arial"/>
          <w:sz w:val="24"/>
          <w:szCs w:val="24"/>
          <w:lang w:eastAsia="es-AR"/>
        </w:rPr>
        <w:t xml:space="preserve"> Para el cargo de Presidencia para el período 2023-2024 se recibió la postulación de la EFS de Chile y para el cargo de la Secretaría Ejecutiva para el período 2023-2026 se recibió la postulación de la EFS de Argentina. </w:t>
      </w:r>
    </w:p>
    <w:p w:rsidR="00B635D9" w:rsidRDefault="00B635D9" w:rsidP="00960E4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960E43" w:rsidRDefault="00960E43" w:rsidP="00960E4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Al respecto la presidencia de la organización solicitó </w:t>
      </w:r>
      <w:r w:rsidR="00B635D9">
        <w:rPr>
          <w:rFonts w:ascii="Calibri" w:eastAsia="Times New Roman" w:hAnsi="Calibri" w:cs="Arial"/>
          <w:sz w:val="24"/>
          <w:szCs w:val="24"/>
          <w:lang w:eastAsia="es-AR"/>
        </w:rPr>
        <w:t>que se proceda a realizar la votación pertinente dado que existía suficiente consenso al respecto. La Comisión Mixta decidió por unanimidad aprobar las postulaciones para los cargos de Presidencia y Secretaría Ejecutiva.</w:t>
      </w:r>
    </w:p>
    <w:p w:rsidR="00B635D9" w:rsidRDefault="00B635D9" w:rsidP="00960E4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p w:rsidR="00B635D9" w:rsidRDefault="00B635D9" w:rsidP="00B635D9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ASUNTOS VARIOS</w:t>
      </w:r>
    </w:p>
    <w:p w:rsidR="00B635D9" w:rsidRDefault="00B635D9" w:rsidP="00960E43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635D9" w:rsidRDefault="00B635D9" w:rsidP="00B635D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presidencia propuso la realización de dos placas conmemorativas para el Dr. </w:t>
      </w:r>
      <w:r w:rsidRPr="00936A94">
        <w:rPr>
          <w:rFonts w:ascii="Calibri" w:eastAsia="Times New Roman" w:hAnsi="Calibri" w:cs="Arial"/>
          <w:sz w:val="24"/>
          <w:szCs w:val="24"/>
          <w:lang w:eastAsia="es-AR"/>
        </w:rPr>
        <w:t xml:space="preserve">Henry Ara Pérez, Contralor General del Estado Plurinacional de Bolivia; </w:t>
      </w:r>
      <w:r>
        <w:rPr>
          <w:rFonts w:cs="Arial"/>
          <w:sz w:val="24"/>
          <w:szCs w:val="24"/>
        </w:rPr>
        <w:t xml:space="preserve">y el Dr. Carlos Felipe Córdoba </w:t>
      </w:r>
      <w:proofErr w:type="spellStart"/>
      <w:r>
        <w:rPr>
          <w:rFonts w:cs="Arial"/>
          <w:sz w:val="24"/>
          <w:szCs w:val="24"/>
        </w:rPr>
        <w:t>Larrarte</w:t>
      </w:r>
      <w:proofErr w:type="spellEnd"/>
      <w:r>
        <w:rPr>
          <w:rFonts w:cs="Arial"/>
          <w:sz w:val="24"/>
          <w:szCs w:val="24"/>
        </w:rPr>
        <w:t>, Contralor General de la Contraloría General de la República de Colombia; en virtud que están próximos a finalizar sus mandatos y en reconocimiento de la labor realizada para el fortalecimiento de nuestra organización.</w:t>
      </w:r>
    </w:p>
    <w:p w:rsidR="00B635D9" w:rsidRDefault="00B635D9" w:rsidP="00B635D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635D9" w:rsidRDefault="00B635D9" w:rsidP="00960E4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cs="Arial"/>
          <w:sz w:val="24"/>
          <w:szCs w:val="24"/>
        </w:rPr>
        <w:t>Se aprueba por unanimidad.</w:t>
      </w:r>
    </w:p>
    <w:p w:rsidR="00B635D9" w:rsidRPr="00960E43" w:rsidRDefault="00B635D9" w:rsidP="00960E4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"/>
        <w:gridCol w:w="3742"/>
        <w:gridCol w:w="426"/>
        <w:gridCol w:w="3839"/>
        <w:gridCol w:w="379"/>
      </w:tblGrid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Default="00D1705B" w:rsidP="00D1705B">
            <w:pPr>
              <w:rPr>
                <w:rFonts w:cs="Arial"/>
                <w:sz w:val="24"/>
                <w:szCs w:val="24"/>
              </w:rPr>
            </w:pPr>
          </w:p>
          <w:p w:rsidR="00B635D9" w:rsidRDefault="00B635D9" w:rsidP="00B635D9">
            <w:pPr>
              <w:pStyle w:val="Prrafodelista"/>
              <w:spacing w:after="0" w:line="360" w:lineRule="auto"/>
              <w:ind w:left="1140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es-AR"/>
              </w:rPr>
            </w:pPr>
          </w:p>
          <w:p w:rsidR="00B635D9" w:rsidRPr="005F0947" w:rsidRDefault="00B635D9" w:rsidP="00D170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705B" w:rsidRPr="00B635D9" w:rsidRDefault="00D1705B" w:rsidP="00B635D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</w:p>
        </w:tc>
        <w:tc>
          <w:tcPr>
            <w:tcW w:w="3839" w:type="dxa"/>
          </w:tcPr>
          <w:p w:rsidR="00D1705B" w:rsidRPr="00B635D9" w:rsidRDefault="00D1705B" w:rsidP="00B635D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</w:p>
          <w:p w:rsidR="00D1705B" w:rsidRPr="00B635D9" w:rsidRDefault="00D1705B" w:rsidP="00B635D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</w:p>
          <w:p w:rsidR="00D1705B" w:rsidRPr="00B635D9" w:rsidRDefault="00D1705B" w:rsidP="00B635D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</w:p>
          <w:p w:rsidR="00D1705B" w:rsidRPr="00B635D9" w:rsidRDefault="00D1705B" w:rsidP="00B635D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F0947">
              <w:rPr>
                <w:rFonts w:cs="Arial"/>
                <w:sz w:val="24"/>
                <w:szCs w:val="24"/>
              </w:rPr>
              <w:t>Auditoría General de la Nación Argentina</w:t>
            </w: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F0947">
              <w:rPr>
                <w:rFonts w:cs="Arial"/>
                <w:sz w:val="24"/>
                <w:szCs w:val="24"/>
              </w:rPr>
              <w:t>Contraloría General del Estado de Bolivia</w:t>
            </w: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F0947">
              <w:rPr>
                <w:rFonts w:cs="Arial"/>
                <w:sz w:val="24"/>
                <w:szCs w:val="24"/>
              </w:rPr>
              <w:t>Tribunal de Cuentas de la Unión de Brasil</w:t>
            </w: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F0947">
              <w:rPr>
                <w:rFonts w:cs="Arial"/>
                <w:sz w:val="24"/>
                <w:szCs w:val="24"/>
              </w:rPr>
              <w:t>Contraloría General de la República de Chile</w:t>
            </w: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F0947">
              <w:rPr>
                <w:rFonts w:cs="Arial"/>
                <w:sz w:val="24"/>
                <w:szCs w:val="24"/>
              </w:rPr>
              <w:t>Contraloría General del Estado de Ecuador</w:t>
            </w: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F0947">
              <w:rPr>
                <w:rFonts w:cs="Arial"/>
                <w:sz w:val="24"/>
                <w:szCs w:val="24"/>
              </w:rPr>
              <w:t>Contraloría Gene</w:t>
            </w:r>
            <w:r w:rsidR="003168D2">
              <w:rPr>
                <w:rFonts w:cs="Arial"/>
                <w:sz w:val="24"/>
                <w:szCs w:val="24"/>
              </w:rPr>
              <w:t>ral de la República de Colombia</w:t>
            </w: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3168D2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F0947">
              <w:rPr>
                <w:rFonts w:cs="Arial"/>
                <w:sz w:val="24"/>
                <w:szCs w:val="24"/>
              </w:rPr>
              <w:t>Contraloría General de la República del Paraguay</w:t>
            </w: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bookmarkStart w:id="1" w:name="_Hlk89073808"/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F0947">
              <w:rPr>
                <w:rFonts w:cs="Arial"/>
                <w:sz w:val="24"/>
                <w:szCs w:val="24"/>
              </w:rPr>
              <w:t>Tribunal de Cuentas de la República Oriental del Uruguay</w:t>
            </w:r>
            <w:bookmarkEnd w:id="1"/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705B" w:rsidTr="00D1705B">
        <w:tc>
          <w:tcPr>
            <w:tcW w:w="335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007" w:type="dxa"/>
            <w:gridSpan w:val="3"/>
          </w:tcPr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1705B" w:rsidRPr="005F0947" w:rsidRDefault="00D1705B" w:rsidP="00D1705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F0947">
              <w:rPr>
                <w:rFonts w:cs="Arial"/>
                <w:sz w:val="24"/>
                <w:szCs w:val="24"/>
              </w:rPr>
              <w:t>Contraloría General de la República Bolivariana de Venezuela</w:t>
            </w:r>
          </w:p>
        </w:tc>
        <w:tc>
          <w:tcPr>
            <w:tcW w:w="379" w:type="dxa"/>
          </w:tcPr>
          <w:p w:rsidR="00D1705B" w:rsidRDefault="00D1705B" w:rsidP="00D1705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60ECF" w:rsidRPr="00770C93" w:rsidRDefault="00360ECF" w:rsidP="00200FC4"/>
    <w:sectPr w:rsidR="00360ECF" w:rsidRPr="00770C93" w:rsidSect="00827592">
      <w:type w:val="continuous"/>
      <w:pgSz w:w="11907" w:h="16839" w:code="9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EEA"/>
    <w:multiLevelType w:val="hybridMultilevel"/>
    <w:tmpl w:val="F5B82AB4"/>
    <w:lvl w:ilvl="0" w:tplc="8CDE8E8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26BEF"/>
    <w:multiLevelType w:val="hybridMultilevel"/>
    <w:tmpl w:val="E5B268B2"/>
    <w:lvl w:ilvl="0" w:tplc="EAE041FC">
      <w:start w:val="1"/>
      <w:numFmt w:val="upperRoman"/>
      <w:lvlText w:val="%1."/>
      <w:lvlJc w:val="left"/>
      <w:pPr>
        <w:ind w:left="156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00008C4"/>
    <w:multiLevelType w:val="hybridMultilevel"/>
    <w:tmpl w:val="EA0A342E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635560"/>
    <w:multiLevelType w:val="hybridMultilevel"/>
    <w:tmpl w:val="085E43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642"/>
    <w:multiLevelType w:val="hybridMultilevel"/>
    <w:tmpl w:val="9D289BD6"/>
    <w:lvl w:ilvl="0" w:tplc="0E16D6B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4970"/>
    <w:multiLevelType w:val="hybridMultilevel"/>
    <w:tmpl w:val="E9109DAC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F157E81"/>
    <w:multiLevelType w:val="hybridMultilevel"/>
    <w:tmpl w:val="F3802ED4"/>
    <w:lvl w:ilvl="0" w:tplc="03286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D259F"/>
    <w:multiLevelType w:val="hybridMultilevel"/>
    <w:tmpl w:val="CBDAE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0A0D"/>
    <w:multiLevelType w:val="hybridMultilevel"/>
    <w:tmpl w:val="6B922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3B14"/>
    <w:multiLevelType w:val="hybridMultilevel"/>
    <w:tmpl w:val="E9109DAC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1BD58BF"/>
    <w:multiLevelType w:val="hybridMultilevel"/>
    <w:tmpl w:val="9D94D7B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18106A"/>
    <w:multiLevelType w:val="hybridMultilevel"/>
    <w:tmpl w:val="EA0A342E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C312DCB"/>
    <w:multiLevelType w:val="hybridMultilevel"/>
    <w:tmpl w:val="EA0A342E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C5E7F7F"/>
    <w:multiLevelType w:val="hybridMultilevel"/>
    <w:tmpl w:val="0C4C30A6"/>
    <w:lvl w:ilvl="0" w:tplc="91701C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E47ED9"/>
    <w:multiLevelType w:val="hybridMultilevel"/>
    <w:tmpl w:val="EA0A342E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5C"/>
    <w:rsid w:val="000B2703"/>
    <w:rsid w:val="000C7D95"/>
    <w:rsid w:val="001B2C5C"/>
    <w:rsid w:val="001B4297"/>
    <w:rsid w:val="00200FC4"/>
    <w:rsid w:val="002444F5"/>
    <w:rsid w:val="003168D2"/>
    <w:rsid w:val="00360ECF"/>
    <w:rsid w:val="004C30FF"/>
    <w:rsid w:val="0063650C"/>
    <w:rsid w:val="006C11E2"/>
    <w:rsid w:val="006C6A93"/>
    <w:rsid w:val="00770C93"/>
    <w:rsid w:val="008034D2"/>
    <w:rsid w:val="00826F9C"/>
    <w:rsid w:val="00827592"/>
    <w:rsid w:val="008634D6"/>
    <w:rsid w:val="008F2AE0"/>
    <w:rsid w:val="009229FE"/>
    <w:rsid w:val="00936A94"/>
    <w:rsid w:val="00960E43"/>
    <w:rsid w:val="009E668F"/>
    <w:rsid w:val="00A402B1"/>
    <w:rsid w:val="00A55D08"/>
    <w:rsid w:val="00B635D9"/>
    <w:rsid w:val="00BA384C"/>
    <w:rsid w:val="00C2296E"/>
    <w:rsid w:val="00C93C36"/>
    <w:rsid w:val="00D1705B"/>
    <w:rsid w:val="00D36B2A"/>
    <w:rsid w:val="00F566BA"/>
    <w:rsid w:val="00FA7701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4A223D-AC65-46F4-B895-7194C385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C5C"/>
    <w:pPr>
      <w:ind w:left="720"/>
      <w:contextualSpacing/>
    </w:pPr>
  </w:style>
  <w:style w:type="paragraph" w:customStyle="1" w:styleId="Prrafodelista1">
    <w:name w:val="Párrafo de lista1"/>
    <w:basedOn w:val="Normal"/>
    <w:rsid w:val="001B2C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9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05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ADA9-539A-4CEC-BA3E-CEECBB07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soporteagn</dc:creator>
  <cp:keywords/>
  <dc:description/>
  <cp:lastModifiedBy>soporteagn</cp:lastModifiedBy>
  <cp:revision>2</cp:revision>
  <cp:lastPrinted>2017-10-05T19:15:00Z</cp:lastPrinted>
  <dcterms:created xsi:type="dcterms:W3CDTF">2022-05-30T16:00:00Z</dcterms:created>
  <dcterms:modified xsi:type="dcterms:W3CDTF">2022-05-30T16:00:00Z</dcterms:modified>
</cp:coreProperties>
</file>